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附件2：</w:t>
      </w:r>
    </w:p>
    <w:p>
      <w:pPr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宋体" w:hAnsi="宋体"/>
          <w:b/>
          <w:sz w:val="32"/>
          <w:szCs w:val="32"/>
        </w:rPr>
        <w:t>首都经济贸易大学201</w:t>
      </w:r>
      <w:r>
        <w:rPr>
          <w:rFonts w:ascii="宋体" w:hAnsi="宋体"/>
          <w:b/>
          <w:sz w:val="32"/>
          <w:szCs w:val="32"/>
        </w:rPr>
        <w:t>6</w:t>
      </w:r>
      <w:r>
        <w:rPr>
          <w:rFonts w:hint="eastAsia" w:ascii="宋体" w:hAnsi="宋体"/>
          <w:b/>
          <w:sz w:val="32"/>
          <w:szCs w:val="32"/>
        </w:rPr>
        <w:t>级本科生第二课堂学分认定汇总表</w:t>
      </w:r>
    </w:p>
    <w:p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学院名称（盖章）：    </w:t>
      </w:r>
    </w:p>
    <w:tbl>
      <w:tblPr>
        <w:tblStyle w:val="2"/>
        <w:tblW w:w="641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009"/>
        <w:gridCol w:w="1053"/>
        <w:gridCol w:w="943"/>
        <w:gridCol w:w="3545"/>
        <w:gridCol w:w="3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 名</w:t>
            </w: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核定学分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（6、4、2、0）</w:t>
            </w: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核定等级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(优秀、良好、及格、不及格)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461" w:type="pct"/>
            <w:vAlign w:val="center"/>
          </w:tcPr>
          <w:p>
            <w:pPr>
              <w:jc w:val="both"/>
              <w:rPr>
                <w:rFonts w:hint="eastAsia" w:ascii="宋体" w:hAnsi="宋体" w:eastAsiaTheme="minorEastAsia"/>
                <w:sz w:val="24"/>
                <w:lang w:eastAsia="zh-CN"/>
              </w:rPr>
            </w:pPr>
            <w:bookmarkStart w:id="0" w:name="_GoBack"/>
            <w:bookmarkEnd w:id="0"/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hint="eastAsia" w:ascii="宋体" w:hAnsi="宋体"/>
                <w:sz w:val="18"/>
                <w:highlight w:val="yellow"/>
              </w:rPr>
              <w:t>（此项大于等于6分，填写6）</w:t>
            </w: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6分为优秀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hint="eastAsia" w:ascii="宋体" w:hAnsi="宋体"/>
                <w:sz w:val="18"/>
                <w:highlight w:val="yellow"/>
              </w:rPr>
              <w:t>（此项小于6且大于等于4分，填写4）</w:t>
            </w: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4分为良好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hint="eastAsia" w:ascii="宋体" w:hAnsi="宋体"/>
                <w:sz w:val="18"/>
                <w:highlight w:val="yellow"/>
              </w:rPr>
              <w:t>（此项小于4且大于等于2分，填写2）</w:t>
            </w: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2分为及格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highlight w:val="yellow"/>
              </w:rPr>
            </w:pPr>
            <w:r>
              <w:rPr>
                <w:rFonts w:hint="eastAsia" w:ascii="宋体" w:hAnsi="宋体"/>
                <w:sz w:val="18"/>
                <w:highlight w:val="yellow"/>
              </w:rPr>
              <w:t>（小于等于2，填写0）</w:t>
            </w: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sz w:val="24"/>
                <w:highlight w:val="yellow"/>
              </w:rPr>
              <w:t>0分为不及格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2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8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31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0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 w:ascii="仿宋_GB2312" w:hAnsi="宋体" w:eastAsia="仿宋_GB2312"/>
          <w:sz w:val="28"/>
          <w:szCs w:val="28"/>
        </w:rPr>
        <w:t xml:space="preserve">    领导签字：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F77BC0"/>
    <w:rsid w:val="3865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2019-12-06T05:19:00Z</dcterms:created>
  <dc:creator>SJ</dc:creator>
  <cp:lastModifiedBy>SJ</cp:lastModifiedBy>
  <dcterms:modified xsi:type="dcterms:W3CDTF">2019-12-06T05:20:17Z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